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74" w:rsidRDefault="001956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дамы и господа!</w:t>
      </w:r>
    </w:p>
    <w:p w:rsidR="00F16E74" w:rsidRDefault="00F16E7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F16E74" w:rsidRDefault="00195614">
      <w:pPr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23 апреля 2013 г. в 16 00 часов Аукционный дом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Кабинетъ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проведет аукцион № 19 (57) «Русская живопись и графика XI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– XX веков» 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аукцион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будет выставлено 142 произведения искусства. Среди них несколько несомненных шедевров, впервые появившихся на российском антикварном рынке. 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Несомненным открытием специалистов аукционного дома стал «Пейзаж с коровами» Николая Крымова (</w:t>
      </w:r>
      <w:hyperlink r:id="rId4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38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 </w:t>
      </w:r>
      <w:r>
        <w:rPr>
          <w:rFonts w:ascii="Times New Roman" w:eastAsia="Times New Roman" w:hAnsi="Times New Roman" w:cs="Times New Roman"/>
          <w:b/>
          <w:sz w:val="24"/>
        </w:rPr>
        <w:t>900 000 – 5 500 000 р.</w:t>
      </w:r>
      <w:r>
        <w:rPr>
          <w:rFonts w:ascii="Times New Roman" w:eastAsia="Times New Roman" w:hAnsi="Times New Roman" w:cs="Times New Roman"/>
          <w:sz w:val="24"/>
        </w:rPr>
        <w:t xml:space="preserve">) – классический образец лучшего периода творчества художника 1900–1910-х гг. Ранее в частном собрании был обнаружен графический подготовительный рисунок к этой работе, опубликованный в каталоге-резоне о Н.П. Крымове в 2009 г. </w:t>
      </w:r>
      <w:proofErr w:type="gramEnd"/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Благод</w:t>
      </w:r>
      <w:r>
        <w:rPr>
          <w:rFonts w:ascii="Times New Roman" w:eastAsia="Times New Roman" w:hAnsi="Times New Roman" w:cs="Times New Roman"/>
          <w:sz w:val="24"/>
        </w:rPr>
        <w:t xml:space="preserve">аря исследованиям экспертов аукционного дома в искусствоведческий и научный оборот возвращается картина Игоря Грабаря «У пруда. </w:t>
      </w:r>
      <w:proofErr w:type="spellStart"/>
      <w:r>
        <w:rPr>
          <w:rFonts w:ascii="Times New Roman" w:eastAsia="Times New Roman" w:hAnsi="Times New Roman" w:cs="Times New Roman"/>
          <w:sz w:val="24"/>
        </w:rPr>
        <w:t>Ольгово</w:t>
      </w:r>
      <w:proofErr w:type="spellEnd"/>
      <w:r>
        <w:rPr>
          <w:rFonts w:ascii="Times New Roman" w:eastAsia="Times New Roman" w:hAnsi="Times New Roman" w:cs="Times New Roman"/>
          <w:sz w:val="24"/>
        </w:rPr>
        <w:t>» (</w:t>
      </w:r>
      <w:hyperlink r:id="rId5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59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2 800 000 – 4 500 000 р.</w:t>
      </w:r>
      <w:r>
        <w:rPr>
          <w:rFonts w:ascii="Times New Roman" w:eastAsia="Times New Roman" w:hAnsi="Times New Roman" w:cs="Times New Roman"/>
          <w:sz w:val="24"/>
        </w:rPr>
        <w:t xml:space="preserve">). Это одно из первых значительных произведений мастера, написанное в 1921 </w:t>
      </w:r>
      <w:r>
        <w:rPr>
          <w:rFonts w:ascii="Times New Roman" w:eastAsia="Times New Roman" w:hAnsi="Times New Roman" w:cs="Times New Roman"/>
          <w:sz w:val="24"/>
        </w:rPr>
        <w:t xml:space="preserve">г. после долгого перерыва в творчестве после Октябрьской революции, когда на протяжении трех лет он был занят общественной и научной работой.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Историю создания цикла картин в усадьбе Апраксиных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Ольгово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Дмитровского уезда Московской губернии И. Грабарь описа</w:t>
      </w:r>
      <w:r>
        <w:rPr>
          <w:rFonts w:ascii="Times New Roman" w:eastAsia="Times New Roman" w:hAnsi="Times New Roman" w:cs="Times New Roman"/>
          <w:sz w:val="24"/>
        </w:rPr>
        <w:t xml:space="preserve">л в своей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автомонографии</w:t>
      </w:r>
      <w:proofErr w:type="spellEnd"/>
      <w:r>
        <w:rPr>
          <w:rFonts w:ascii="Times New Roman" w:eastAsia="Times New Roman" w:hAnsi="Times New Roman" w:cs="Times New Roman"/>
          <w:sz w:val="24"/>
        </w:rPr>
        <w:t>, вышедшей в 1938 г. там же в списке произведений художника за 1921 г. указана работа «У пруда.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Ольгово</w:t>
      </w:r>
      <w:proofErr w:type="spellEnd"/>
      <w:r>
        <w:rPr>
          <w:rFonts w:ascii="Times New Roman" w:eastAsia="Times New Roman" w:hAnsi="Times New Roman" w:cs="Times New Roman"/>
          <w:sz w:val="24"/>
        </w:rPr>
        <w:t>». Эта картина также зафиксирована в списке картин И. Грабаря в его биобиблиографии, изданной Академией наук СССР в первом выпуск</w:t>
      </w:r>
      <w:r>
        <w:rPr>
          <w:rFonts w:ascii="Times New Roman" w:eastAsia="Times New Roman" w:hAnsi="Times New Roman" w:cs="Times New Roman"/>
          <w:sz w:val="24"/>
        </w:rPr>
        <w:t xml:space="preserve">е серии о выдающихся ученых в области искусства. 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Находкой аукциона является </w:t>
      </w:r>
      <w:hyperlink r:id="rId6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лот№43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500 000 – 750 000 р.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эскиз костюма «Стражника» к постановке пьесы П. Кальдерона «Чистилище Святого Патрика» в «Старинном театре» в Санкт-Петербурге. 1911 г., </w:t>
      </w:r>
      <w:r>
        <w:rPr>
          <w:rFonts w:ascii="Times New Roman" w:eastAsia="Times New Roman" w:hAnsi="Times New Roman" w:cs="Times New Roman"/>
          <w:sz w:val="24"/>
        </w:rPr>
        <w:t xml:space="preserve">выполненный И.Я.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Билибиным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Три сезона Старинного театра была высоко оценены критиками. Над декорациями и костюмами к постановкам работали, кроме И.Я.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Билибина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такие замечательные мастера как Н.К. Рерих, М.В. </w:t>
      </w:r>
      <w:proofErr w:type="spellStart"/>
      <w:r>
        <w:rPr>
          <w:rFonts w:ascii="Times New Roman" w:eastAsia="Times New Roman" w:hAnsi="Times New Roman" w:cs="Times New Roman"/>
          <w:sz w:val="24"/>
        </w:rPr>
        <w:t>Добужинский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Е.Е. Лансере, А.И. Бенуа. Весьма </w:t>
      </w:r>
      <w:r>
        <w:rPr>
          <w:rFonts w:ascii="Times New Roman" w:eastAsia="Times New Roman" w:hAnsi="Times New Roman" w:cs="Times New Roman"/>
          <w:sz w:val="24"/>
        </w:rPr>
        <w:t xml:space="preserve">вероятно, что этот эскиз был представлен на выставке «Мира искусства» (1912), где были представлены работы всех художников объединения для Старинного театра 1911–1912 гг., в том числе и И.Я.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Билибина</w:t>
      </w:r>
      <w:proofErr w:type="spellEnd"/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Не менее значим и </w:t>
      </w:r>
      <w:hyperlink r:id="rId7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109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2 200 000 – 3 200 </w:t>
      </w:r>
      <w:r>
        <w:rPr>
          <w:rFonts w:ascii="Times New Roman" w:eastAsia="Times New Roman" w:hAnsi="Times New Roman" w:cs="Times New Roman"/>
          <w:b/>
          <w:sz w:val="24"/>
        </w:rPr>
        <w:t xml:space="preserve">000 р.) </w:t>
      </w:r>
      <w:r>
        <w:rPr>
          <w:rFonts w:ascii="Times New Roman" w:eastAsia="Times New Roman" w:hAnsi="Times New Roman" w:cs="Times New Roman"/>
          <w:sz w:val="24"/>
        </w:rPr>
        <w:t xml:space="preserve">– «Натюрморт на рояле, с портретом Е.М. </w:t>
      </w:r>
      <w:proofErr w:type="spellStart"/>
      <w:r>
        <w:rPr>
          <w:rFonts w:ascii="Times New Roman" w:eastAsia="Times New Roman" w:hAnsi="Times New Roman" w:cs="Times New Roman"/>
          <w:sz w:val="24"/>
        </w:rPr>
        <w:t>Бебутовой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выполненный Павлом Кузнецовым в поздний период творчества в 1950-е гг.. Любопытно отметить использование в картине своеобразной цитаты – на полотне изображен знаменитый «Портрет Елены Михайловны </w:t>
      </w:r>
      <w:proofErr w:type="spellStart"/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ебутовой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 кувшином)», написанный П.В. Кузнецовым в 1922 г., ставший одним из самых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узнаваемых произведений русской живописи начала XX в. и ныне </w:t>
      </w:r>
      <w:proofErr w:type="gramStart"/>
      <w:r>
        <w:rPr>
          <w:rFonts w:ascii="Times New Roman" w:eastAsia="Times New Roman" w:hAnsi="Times New Roman" w:cs="Times New Roman"/>
          <w:sz w:val="24"/>
        </w:rPr>
        <w:t>хранящийся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ГТГ. Выставленный на аукцион «Натюрморт на рояле» фигурирует в списке основных произведений П. В.</w:t>
      </w:r>
      <w:r>
        <w:rPr>
          <w:rFonts w:ascii="Times New Roman" w:eastAsia="Times New Roman" w:hAnsi="Times New Roman" w:cs="Times New Roman"/>
          <w:sz w:val="24"/>
        </w:rPr>
        <w:t xml:space="preserve"> Кузнецова, опубликованном в монографии о художнике в 1977 г., как хранившийся в семье художника 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Хотим особо выделить исключительную редкость на отечественном антикварном рынке – рисунок одного из самых значительных русских художников Карла Брюллова «Объя</w:t>
      </w:r>
      <w:r>
        <w:rPr>
          <w:rFonts w:ascii="Times New Roman" w:eastAsia="Times New Roman" w:hAnsi="Times New Roman" w:cs="Times New Roman"/>
          <w:sz w:val="24"/>
        </w:rPr>
        <w:t>снение» (</w:t>
      </w:r>
      <w:hyperlink r:id="rId8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№1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800 000 – 950 000 р.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отечественный художественный рынок после почти столетнего перерыва возвращается масштабная академическая работа известного украинского живописца конца XIX в. Дамиана Глущенко «У Каспия» (1899) (</w:t>
      </w:r>
      <w:hyperlink r:id="rId9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№25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720 000 – 1 100 000 р.</w:t>
      </w:r>
      <w:r>
        <w:rPr>
          <w:rFonts w:ascii="Times New Roman" w:eastAsia="Times New Roman" w:hAnsi="Times New Roman" w:cs="Times New Roman"/>
          <w:sz w:val="24"/>
        </w:rPr>
        <w:t>), которая экспонировалась на Весенней выставке в залах ИАХ в 1899 г. и была опубликована в каталоге этой выставки. Картины этого мастера не часто встречаются на торгах, тем более значительным кажется появление столь значимой</w:t>
      </w:r>
      <w:r>
        <w:rPr>
          <w:rFonts w:ascii="Times New Roman" w:eastAsia="Times New Roman" w:hAnsi="Times New Roman" w:cs="Times New Roman"/>
          <w:sz w:val="24"/>
        </w:rPr>
        <w:t xml:space="preserve"> работы. 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торги выставлена одна из вариаций жанровой сценки «Матрос и милая», исполненная Борисом </w:t>
      </w:r>
      <w:proofErr w:type="spellStart"/>
      <w:r>
        <w:rPr>
          <w:rFonts w:ascii="Times New Roman" w:eastAsia="Times New Roman" w:hAnsi="Times New Roman" w:cs="Times New Roman"/>
          <w:sz w:val="24"/>
        </w:rPr>
        <w:t>Кустодиевым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1925 г. (</w:t>
      </w:r>
      <w:hyperlink r:id="rId10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58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520 000 – 700 000 р.</w:t>
      </w:r>
      <w:r>
        <w:rPr>
          <w:rFonts w:ascii="Times New Roman" w:eastAsia="Times New Roman" w:hAnsi="Times New Roman" w:cs="Times New Roman"/>
          <w:sz w:val="24"/>
        </w:rPr>
        <w:t>), который неоднократно возвращался к этому мотиву времен революционного Петрограда в своем т</w:t>
      </w:r>
      <w:r>
        <w:rPr>
          <w:rFonts w:ascii="Times New Roman" w:eastAsia="Times New Roman" w:hAnsi="Times New Roman" w:cs="Times New Roman"/>
          <w:sz w:val="24"/>
        </w:rPr>
        <w:t>ворчестве.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Вниманию коллекционеров будут предложены экспонировавшиеся на выставках картины пейзажи художника-передвижника Ивана Калмыкова «Кипарисы» (</w:t>
      </w:r>
      <w:hyperlink r:id="rId11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27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280 000 – 300 000 р.</w:t>
      </w:r>
      <w:r>
        <w:rPr>
          <w:rFonts w:ascii="Times New Roman" w:eastAsia="Times New Roman" w:hAnsi="Times New Roman" w:cs="Times New Roman"/>
          <w:sz w:val="24"/>
        </w:rPr>
        <w:t xml:space="preserve">) и пейзаж художника-любителя Ольги </w:t>
      </w:r>
      <w:proofErr w:type="spellStart"/>
      <w:r>
        <w:rPr>
          <w:rFonts w:ascii="Times New Roman" w:eastAsia="Times New Roman" w:hAnsi="Times New Roman" w:cs="Times New Roman"/>
          <w:sz w:val="24"/>
        </w:rPr>
        <w:t>Рехенберг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«За грибами. Вид в окр</w:t>
      </w:r>
      <w:r>
        <w:rPr>
          <w:rFonts w:ascii="Times New Roman" w:eastAsia="Times New Roman" w:hAnsi="Times New Roman" w:cs="Times New Roman"/>
          <w:sz w:val="24"/>
        </w:rPr>
        <w:t xml:space="preserve">естностях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 Луги» (1907) (</w:t>
      </w:r>
      <w:hyperlink r:id="rId12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30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165 000 – 180 000 р.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Эксперты аукционного дома продолжают работу по изучению и атрибуции картин и после выхода каталога из печати. </w:t>
      </w:r>
      <w:proofErr w:type="gramStart"/>
      <w:r>
        <w:rPr>
          <w:rFonts w:ascii="Times New Roman" w:eastAsia="Times New Roman" w:hAnsi="Times New Roman" w:cs="Times New Roman"/>
          <w:sz w:val="24"/>
        </w:rPr>
        <w:t>Поэтому не исключено, что будут обнаружены факты, подтверждающие участие в в</w:t>
      </w:r>
      <w:r>
        <w:rPr>
          <w:rFonts w:ascii="Times New Roman" w:eastAsia="Times New Roman" w:hAnsi="Times New Roman" w:cs="Times New Roman"/>
          <w:sz w:val="24"/>
        </w:rPr>
        <w:t xml:space="preserve">ыставках таких мастерски выполненных работ как </w:t>
      </w:r>
      <w:hyperlink r:id="rId13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№39</w:t>
        </w:r>
      </w:hyperlink>
      <w:r>
        <w:rPr>
          <w:rFonts w:ascii="Times New Roman" w:eastAsia="Times New Roman" w:hAnsi="Times New Roman" w:cs="Times New Roman"/>
          <w:sz w:val="24"/>
        </w:rPr>
        <w:t xml:space="preserve"> «Вид Невы со стороны Университетской набережной»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550 000 – 750 000 р.</w:t>
      </w:r>
      <w:r>
        <w:rPr>
          <w:rFonts w:ascii="Times New Roman" w:eastAsia="Times New Roman" w:hAnsi="Times New Roman" w:cs="Times New Roman"/>
          <w:sz w:val="24"/>
        </w:rPr>
        <w:t xml:space="preserve">), датированный 1912 г., признанного колориста, мастера городского пейзажа Арнольда </w:t>
      </w:r>
      <w:proofErr w:type="spellStart"/>
      <w:r>
        <w:rPr>
          <w:rFonts w:ascii="Times New Roman" w:eastAsia="Times New Roman" w:hAnsi="Times New Roman" w:cs="Times New Roman"/>
          <w:sz w:val="24"/>
        </w:rPr>
        <w:t>Лаховского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hyperlink r:id="rId14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49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«На Петровском о</w:t>
      </w:r>
      <w:r>
        <w:rPr>
          <w:rFonts w:ascii="Times New Roman" w:eastAsia="Times New Roman" w:hAnsi="Times New Roman" w:cs="Times New Roman"/>
          <w:sz w:val="24"/>
        </w:rPr>
        <w:t>строве»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2 350 000 – 3 500 000 р.</w:t>
      </w:r>
      <w:r>
        <w:rPr>
          <w:rFonts w:ascii="Times New Roman" w:eastAsia="Times New Roman" w:hAnsi="Times New Roman" w:cs="Times New Roman"/>
          <w:sz w:val="24"/>
        </w:rPr>
        <w:t>), датированный 1918 г., К.И. Горбатова</w:t>
      </w:r>
      <w:proofErr w:type="gramEnd"/>
      <w:r>
        <w:rPr>
          <w:rFonts w:ascii="Times New Roman" w:eastAsia="Times New Roman" w:hAnsi="Times New Roman" w:cs="Times New Roman"/>
          <w:sz w:val="24"/>
        </w:rPr>
        <w:t>, чьи произведения, отмеченные влиянием передвижников, охотно раскупала петербургская публика прямо с выставок.</w:t>
      </w:r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разделе графики представлены замечательные эскизы орнаментов </w:t>
      </w:r>
      <w:r>
        <w:rPr>
          <w:rFonts w:ascii="Times New Roman" w:eastAsia="Times New Roman" w:hAnsi="Times New Roman" w:cs="Times New Roman"/>
          <w:sz w:val="24"/>
        </w:rPr>
        <w:t xml:space="preserve">в технике </w:t>
      </w:r>
      <w:proofErr w:type="spellStart"/>
      <w:r>
        <w:rPr>
          <w:rFonts w:ascii="Times New Roman" w:eastAsia="Times New Roman" w:hAnsi="Times New Roman" w:cs="Times New Roman"/>
          <w:sz w:val="24"/>
        </w:rPr>
        <w:t>пошуар</w:t>
      </w:r>
      <w:proofErr w:type="spellEnd"/>
      <w:r>
        <w:rPr>
          <w:rFonts w:ascii="Times New Roman" w:eastAsia="Times New Roman" w:hAnsi="Times New Roman" w:cs="Times New Roman"/>
          <w:sz w:val="24"/>
        </w:rPr>
        <w:t>, выполненные молодыми русскими и французскими художниками и изданными во Франции в 1929 г. (</w:t>
      </w:r>
      <w:hyperlink r:id="rId15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69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Dessins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ornement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Paris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Calavas</w:t>
      </w:r>
      <w:proofErr w:type="spellEnd"/>
      <w:r>
        <w:rPr>
          <w:rFonts w:ascii="Times New Roman" w:eastAsia="Times New Roman" w:hAnsi="Times New Roman" w:cs="Times New Roman"/>
          <w:sz w:val="24"/>
        </w:rPr>
        <w:t>. 1929 [Рисунки.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Идеи орнаментов. Франция.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Париж, издательство А.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1929],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</w:rPr>
        <w:t>00 000 – 120 000 р.</w:t>
      </w:r>
      <w:r>
        <w:rPr>
          <w:rFonts w:ascii="Times New Roman" w:eastAsia="Times New Roman" w:hAnsi="Times New Roman" w:cs="Times New Roman"/>
          <w:sz w:val="24"/>
        </w:rPr>
        <w:t>), а также 7 акварельных рисунков Александра Могилевского к детской книжке-картинке «К морю и в горы» (</w:t>
      </w:r>
      <w:hyperlink r:id="rId16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76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120 000 – 130 000 р.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  <w:proofErr w:type="gramEnd"/>
    </w:p>
    <w:p w:rsidR="00F16E74" w:rsidRDefault="00195614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Интерес вызовут и работы живописцев советского периода. </w:t>
      </w:r>
      <w:proofErr w:type="gramStart"/>
      <w:r>
        <w:rPr>
          <w:rFonts w:ascii="Times New Roman" w:eastAsia="Times New Roman" w:hAnsi="Times New Roman" w:cs="Times New Roman"/>
          <w:sz w:val="24"/>
        </w:rPr>
        <w:t>В частности, «Натюрморт с клубникой</w:t>
      </w:r>
      <w:r>
        <w:rPr>
          <w:rFonts w:ascii="Times New Roman" w:eastAsia="Times New Roman" w:hAnsi="Times New Roman" w:cs="Times New Roman"/>
          <w:sz w:val="24"/>
        </w:rPr>
        <w:t>» Надежды Удальцовой (</w:t>
      </w:r>
      <w:hyperlink r:id="rId17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95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350 000 – 450 000 р.</w:t>
      </w:r>
      <w:r>
        <w:rPr>
          <w:rFonts w:ascii="Times New Roman" w:eastAsia="Times New Roman" w:hAnsi="Times New Roman" w:cs="Times New Roman"/>
          <w:sz w:val="24"/>
        </w:rPr>
        <w:t xml:space="preserve">), эскиз картины «Кончилась война» Василия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Почиталова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hyperlink r:id="rId18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89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130 000 – 140 000 р.</w:t>
      </w:r>
      <w:r>
        <w:rPr>
          <w:rFonts w:ascii="Times New Roman" w:eastAsia="Times New Roman" w:hAnsi="Times New Roman" w:cs="Times New Roman"/>
          <w:sz w:val="24"/>
        </w:rPr>
        <w:t xml:space="preserve">), опубликованный в монографии о художнике, «Портрет заслуженного мастера спорта Е. Д.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>» рабо</w:t>
      </w:r>
      <w:r>
        <w:rPr>
          <w:rFonts w:ascii="Times New Roman" w:eastAsia="Times New Roman" w:hAnsi="Times New Roman" w:cs="Times New Roman"/>
          <w:sz w:val="24"/>
        </w:rPr>
        <w:t>ты Иосифа Ильина (</w:t>
      </w:r>
      <w:hyperlink r:id="rId19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125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120 000 – 150 000 р.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  <w:proofErr w:type="gramEnd"/>
    </w:p>
    <w:p w:rsidR="00F16E74" w:rsidRPr="00CA4B64" w:rsidRDefault="001956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Среди картин художников второй половины XX в. на аукционе выставлены неоднократно экспонировавшиеся на выставках работы Эдуарда Хорошего «Весна в Ленинграде» (</w:t>
      </w:r>
      <w:r>
        <w:rPr>
          <w:rFonts w:ascii="Times New Roman" w:eastAsia="Times New Roman" w:hAnsi="Times New Roman" w:cs="Times New Roman"/>
          <w:b/>
          <w:sz w:val="24"/>
        </w:rPr>
        <w:t xml:space="preserve">лот № 101,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240 000 – 300 000 р.</w:t>
      </w:r>
      <w:r>
        <w:rPr>
          <w:rFonts w:ascii="Times New Roman" w:eastAsia="Times New Roman" w:hAnsi="Times New Roman" w:cs="Times New Roman"/>
          <w:sz w:val="24"/>
        </w:rPr>
        <w:t>) и «Москва вечерняя» (</w:t>
      </w:r>
      <w:hyperlink r:id="rId20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129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210 000 – 270 000 р.</w:t>
      </w:r>
      <w:r>
        <w:rPr>
          <w:rFonts w:ascii="Times New Roman" w:eastAsia="Times New Roman" w:hAnsi="Times New Roman" w:cs="Times New Roman"/>
          <w:sz w:val="24"/>
        </w:rPr>
        <w:t>) и Олега Вишнякова «Метромост» (</w:t>
      </w:r>
      <w:hyperlink r:id="rId21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104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120 000 – 140 000 р.</w:t>
      </w:r>
      <w:r>
        <w:rPr>
          <w:rFonts w:ascii="Times New Roman" w:eastAsia="Times New Roman" w:hAnsi="Times New Roman" w:cs="Times New Roman"/>
          <w:sz w:val="24"/>
        </w:rPr>
        <w:t>), «Окраина.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Последняя остановка» (</w:t>
      </w:r>
      <w:hyperlink r:id="rId22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113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55 000 – 65 000 р.</w:t>
      </w:r>
      <w:r>
        <w:rPr>
          <w:rFonts w:ascii="Times New Roman" w:eastAsia="Times New Roman" w:hAnsi="Times New Roman" w:cs="Times New Roman"/>
          <w:sz w:val="24"/>
        </w:rPr>
        <w:t>), «Ста</w:t>
      </w:r>
      <w:r>
        <w:rPr>
          <w:rFonts w:ascii="Times New Roman" w:eastAsia="Times New Roman" w:hAnsi="Times New Roman" w:cs="Times New Roman"/>
          <w:sz w:val="24"/>
        </w:rPr>
        <w:t>рая и новая Москва» (</w:t>
      </w:r>
      <w:hyperlink r:id="rId23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130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60 000 – 70 000 р.</w:t>
      </w:r>
      <w:r>
        <w:rPr>
          <w:rFonts w:ascii="Times New Roman" w:eastAsia="Times New Roman" w:hAnsi="Times New Roman" w:cs="Times New Roman"/>
          <w:sz w:val="24"/>
        </w:rPr>
        <w:t xml:space="preserve">), «Зима. </w:t>
      </w:r>
      <w:proofErr w:type="gramStart"/>
      <w:r>
        <w:rPr>
          <w:rFonts w:ascii="Times New Roman" w:eastAsia="Times New Roman" w:hAnsi="Times New Roman" w:cs="Times New Roman"/>
          <w:sz w:val="24"/>
        </w:rPr>
        <w:t>Рижская дорога» (</w:t>
      </w:r>
      <w:hyperlink r:id="rId24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 № 131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38 000 – 45 000 р.</w:t>
      </w:r>
      <w:r>
        <w:rPr>
          <w:rFonts w:ascii="Times New Roman" w:eastAsia="Times New Roman" w:hAnsi="Times New Roman" w:cs="Times New Roman"/>
          <w:sz w:val="24"/>
        </w:rPr>
        <w:t xml:space="preserve">), а также четыре работы патриарха отечественной живописной школы, пейзажиста Юрия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Кугача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hyperlink r:id="rId25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лоты № 110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115 000 – 135 000 р.</w:t>
      </w:r>
      <w:r>
        <w:rPr>
          <w:rFonts w:ascii="Times New Roman" w:eastAsia="Times New Roman" w:hAnsi="Times New Roman" w:cs="Times New Roman"/>
          <w:b/>
          <w:sz w:val="24"/>
        </w:rPr>
        <w:t xml:space="preserve">), </w:t>
      </w:r>
      <w:hyperlink r:id="rId26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№ 111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115 000 – 135 000 р.), </w:t>
      </w:r>
      <w:hyperlink r:id="rId27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№ 134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120 000 – 140 000 р.), </w:t>
      </w:r>
      <w:hyperlink r:id="rId28" w:history="1">
        <w:r w:rsidRPr="00195614">
          <w:rPr>
            <w:rStyle w:val="a3"/>
            <w:rFonts w:ascii="Times New Roman" w:eastAsia="Times New Roman" w:hAnsi="Times New Roman" w:cs="Times New Roman"/>
            <w:b/>
            <w:sz w:val="24"/>
          </w:rPr>
          <w:t>№ 135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25 000 – 35 000 р.</w:t>
      </w:r>
      <w:r>
        <w:rPr>
          <w:rFonts w:ascii="Times New Roman" w:eastAsia="Times New Roman" w:hAnsi="Times New Roman" w:cs="Times New Roman"/>
          <w:sz w:val="24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Торги пройдут 23 апреля 2013 г. в 16 00.</w:t>
      </w:r>
      <w:r w:rsidR="00CA4B64" w:rsidRPr="00CA4B64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4B64" w:rsidRPr="00CA4B64">
        <w:rPr>
          <w:rFonts w:ascii="Times New Roman" w:eastAsia="Times New Roman" w:hAnsi="Times New Roman" w:cs="Times New Roman"/>
          <w:b/>
          <w:sz w:val="24"/>
        </w:rPr>
        <w:br/>
      </w:r>
      <w:r w:rsidR="00CA4B64">
        <w:object w:dxaOrig="8850" w:dyaOrig="1137">
          <v:rect id="rectole0000000000" o:spid="_x0000_i1025" style="width:442.35pt;height:57pt" o:ole="" o:preferrelative="t" stroked="f">
            <v:imagedata r:id="rId29" o:title=""/>
          </v:rect>
          <o:OLEObject Type="Embed" ProgID="StaticMetafile" ShapeID="rectole0000000000" DrawAspect="Content" ObjectID="_1427634430" r:id="rId30"/>
        </w:object>
      </w:r>
    </w:p>
    <w:sectPr w:rsidR="00F16E74" w:rsidRPr="00CA4B64" w:rsidSect="00CA4B6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16E74"/>
    <w:rsid w:val="00195614"/>
    <w:rsid w:val="00CA4B64"/>
    <w:rsid w:val="00F1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inet-auktion.com/auction/art19/1/" TargetMode="External"/><Relationship Id="rId13" Type="http://schemas.openxmlformats.org/officeDocument/2006/relationships/hyperlink" Target="http://www.kabinet-auktion.com/auction/art19/39/" TargetMode="External"/><Relationship Id="rId18" Type="http://schemas.openxmlformats.org/officeDocument/2006/relationships/hyperlink" Target="http://www.kabinet-auktion.com/auction/art19/89/" TargetMode="External"/><Relationship Id="rId26" Type="http://schemas.openxmlformats.org/officeDocument/2006/relationships/hyperlink" Target="http://www.kabinet-auktion.com/auction/art19/1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abinet-auktion.com/auction/art19/104/" TargetMode="External"/><Relationship Id="rId7" Type="http://schemas.openxmlformats.org/officeDocument/2006/relationships/hyperlink" Target="http://www.kabinet-auktion.com/auction/art19/109/" TargetMode="External"/><Relationship Id="rId12" Type="http://schemas.openxmlformats.org/officeDocument/2006/relationships/hyperlink" Target="http://www.kabinet-auktion.com/auction/art19/30/" TargetMode="External"/><Relationship Id="rId17" Type="http://schemas.openxmlformats.org/officeDocument/2006/relationships/hyperlink" Target="http://www.kabinet-auktion.com/auction/art19/95/" TargetMode="External"/><Relationship Id="rId25" Type="http://schemas.openxmlformats.org/officeDocument/2006/relationships/hyperlink" Target="http://www.kabinet-auktion.com/auction/art19/1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binet-auktion.com/auction/art19/76/" TargetMode="External"/><Relationship Id="rId20" Type="http://schemas.openxmlformats.org/officeDocument/2006/relationships/hyperlink" Target="http://www.kabinet-auktion.com/auction/art19/129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kabinet-auktion.com/auction/art19/43/" TargetMode="External"/><Relationship Id="rId11" Type="http://schemas.openxmlformats.org/officeDocument/2006/relationships/hyperlink" Target="http://www.kabinet-auktion.com/auction/art19/27/" TargetMode="External"/><Relationship Id="rId24" Type="http://schemas.openxmlformats.org/officeDocument/2006/relationships/hyperlink" Target="http://www.kabinet-auktion.com/auction/art19/131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kabinet-auktion.com/auction/art19/59/" TargetMode="External"/><Relationship Id="rId15" Type="http://schemas.openxmlformats.org/officeDocument/2006/relationships/hyperlink" Target="http://www.kabinet-auktion.com/auction/art19/69/" TargetMode="External"/><Relationship Id="rId23" Type="http://schemas.openxmlformats.org/officeDocument/2006/relationships/hyperlink" Target="http://www.kabinet-auktion.com/auction/art19/130/" TargetMode="External"/><Relationship Id="rId28" Type="http://schemas.openxmlformats.org/officeDocument/2006/relationships/hyperlink" Target="http://www.kabinet-auktion.com/auction/art19/135/" TargetMode="External"/><Relationship Id="rId10" Type="http://schemas.openxmlformats.org/officeDocument/2006/relationships/hyperlink" Target="http://www.kabinet-auktion.com/auction/art19/58/" TargetMode="External"/><Relationship Id="rId19" Type="http://schemas.openxmlformats.org/officeDocument/2006/relationships/hyperlink" Target="http://www.kabinet-auktion.com/auction/art19/125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kabinet-auktion.com/auction/art19/38/" TargetMode="External"/><Relationship Id="rId9" Type="http://schemas.openxmlformats.org/officeDocument/2006/relationships/hyperlink" Target="http://www.kabinet-auktion.com/auction/art19/25/" TargetMode="External"/><Relationship Id="rId14" Type="http://schemas.openxmlformats.org/officeDocument/2006/relationships/hyperlink" Target="http://www.kabinet-auktion.com/auction/art19/49/" TargetMode="External"/><Relationship Id="rId22" Type="http://schemas.openxmlformats.org/officeDocument/2006/relationships/hyperlink" Target="http://www.kabinet-auktion.com/auction/art19/113/" TargetMode="External"/><Relationship Id="rId27" Type="http://schemas.openxmlformats.org/officeDocument/2006/relationships/hyperlink" Target="http://www.kabinet-auktion.com/auction/art19/134/" TargetMode="External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1212</Words>
  <Characters>6913</Characters>
  <Application>Microsoft Office Word</Application>
  <DocSecurity>0</DocSecurity>
  <Lines>57</Lines>
  <Paragraphs>16</Paragraphs>
  <ScaleCrop>false</ScaleCrop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</cp:lastModifiedBy>
  <cp:revision>3</cp:revision>
  <dcterms:created xsi:type="dcterms:W3CDTF">2013-04-16T12:14:00Z</dcterms:created>
  <dcterms:modified xsi:type="dcterms:W3CDTF">2013-04-16T12:21:00Z</dcterms:modified>
</cp:coreProperties>
</file>